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91674" w:rsidRPr="001B7E47" w:rsidRDefault="00E43F00" w:rsidP="004C079E">
      <w:pPr>
        <w:tabs>
          <w:tab w:val="left" w:pos="-90"/>
          <w:tab w:val="left" w:pos="3330"/>
        </w:tabs>
        <w:jc w:val="center"/>
        <w:rPr>
          <w:b/>
          <w:sz w:val="36"/>
          <w:szCs w:val="36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180340</wp:posOffset>
            </wp:positionV>
            <wp:extent cx="1682115" cy="584200"/>
            <wp:effectExtent l="19050" t="0" r="0" b="0"/>
            <wp:wrapSquare wrapText="bothSides"/>
            <wp:docPr id="1" name="Picture 1" descr="IM-MobilityDi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-MobilityDi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47">
        <w:rPr>
          <w:b/>
          <w:sz w:val="36"/>
          <w:szCs w:val="36"/>
        </w:rPr>
        <w:t>I</w:t>
      </w:r>
      <w:r w:rsidR="004C079E">
        <w:rPr>
          <w:b/>
          <w:sz w:val="36"/>
          <w:szCs w:val="36"/>
        </w:rPr>
        <w:t>ngram Micro – Cisco/Sprint Program</w:t>
      </w:r>
      <w:r w:rsidR="009F2A2F">
        <w:rPr>
          <w:rFonts w:ascii="Arial" w:hAnsi="Arial" w:cs="Arial"/>
          <w:noProof/>
          <w:color w:val="0000FF"/>
        </w:rPr>
        <w:drawing>
          <wp:inline distT="0" distB="0" distL="0" distR="0">
            <wp:extent cx="1414145" cy="893445"/>
            <wp:effectExtent l="19050" t="0" r="0" b="0"/>
            <wp:docPr id="3" name="Picture 1" descr="http://t0.gstatic.com/images?q=tbn:8unU5vUawesT_M:http://www.skymetercorp.com/cms/images/stories/Logos/CiscoSystem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8unU5vUawesT_M:http://www.skymetercorp.com/cms/images/stories/Logos/CiscoSystem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AC" w:rsidRDefault="004C079E" w:rsidP="0066218C">
      <w:pPr>
        <w:jc w:val="center"/>
        <w:rPr>
          <w:b/>
        </w:rPr>
      </w:pPr>
      <w:r>
        <w:rPr>
          <w:b/>
          <w:sz w:val="28"/>
          <w:szCs w:val="28"/>
        </w:rPr>
        <w:t>Activation of Cisco Devices on Sprint</w:t>
      </w:r>
    </w:p>
    <w:p w:rsidR="001C61F9" w:rsidRDefault="001C61F9" w:rsidP="009B1217">
      <w:r>
        <w:t xml:space="preserve">Cisco is </w:t>
      </w:r>
      <w:r w:rsidR="00261062">
        <w:t>partnering with</w:t>
      </w:r>
      <w:r>
        <w:t xml:space="preserve"> Ingram Micro Mobility in an awareness campaign </w:t>
      </w:r>
      <w:r w:rsidR="00656E1B">
        <w:t>designed</w:t>
      </w:r>
      <w:r w:rsidR="00D7769C">
        <w:t xml:space="preserve"> to</w:t>
      </w:r>
      <w:r>
        <w:t xml:space="preserve"> increase Sprint activations of the Cisco embedded products.  The program will offer resellers of the Sprint embedded Cisco Modems a commission when sold with an accompanying activation of the device.  The activations </w:t>
      </w:r>
      <w:r w:rsidR="00261062">
        <w:t>will</w:t>
      </w:r>
      <w:r>
        <w:t xml:space="preserve"> be performed by Ingram Micro’s Mobility team</w:t>
      </w:r>
      <w:r w:rsidR="003E0373">
        <w:t xml:space="preserve"> or by the resellers themselves through Ingram’s Micro’s activation portal, Ignition.</w:t>
      </w:r>
    </w:p>
    <w:p w:rsidR="00A03793" w:rsidRPr="00A03793" w:rsidRDefault="00A03793" w:rsidP="003B0CF8">
      <w:pPr>
        <w:rPr>
          <w:b/>
        </w:rPr>
      </w:pPr>
      <w:r w:rsidRPr="00A03793">
        <w:rPr>
          <w:b/>
        </w:rPr>
        <w:t>Program Highlights:</w:t>
      </w:r>
    </w:p>
    <w:p w:rsidR="00EF4976" w:rsidRPr="00D7769C" w:rsidRDefault="00B54D92" w:rsidP="001C61F9">
      <w:pPr>
        <w:pStyle w:val="ListParagraph"/>
        <w:numPr>
          <w:ilvl w:val="0"/>
          <w:numId w:val="7"/>
        </w:numPr>
        <w:rPr>
          <w:u w:val="single"/>
        </w:rPr>
      </w:pPr>
      <w:r>
        <w:t>$</w:t>
      </w:r>
      <w:r w:rsidR="007C39FF">
        <w:t>5</w:t>
      </w:r>
      <w:r w:rsidR="00D4714B">
        <w:t>5</w:t>
      </w:r>
      <w:r>
        <w:t xml:space="preserve"> - $</w:t>
      </w:r>
      <w:r w:rsidR="007C39FF">
        <w:t>19</w:t>
      </w:r>
      <w:r w:rsidR="00052A7A">
        <w:t>1</w:t>
      </w:r>
      <w:r w:rsidR="00182598">
        <w:t xml:space="preserve"> Activation</w:t>
      </w:r>
      <w:r w:rsidR="00EF4976">
        <w:t xml:space="preserve"> Credit will be </w:t>
      </w:r>
      <w:r w:rsidR="00182598">
        <w:t>applied</w:t>
      </w:r>
      <w:r w:rsidR="00EF4976">
        <w:t xml:space="preserve"> to </w:t>
      </w:r>
      <w:r w:rsidR="00261062">
        <w:t xml:space="preserve">the </w:t>
      </w:r>
      <w:r w:rsidR="00EF4976">
        <w:t>Reseller’s Ingram Micro account when purchased with activation on S</w:t>
      </w:r>
      <w:r w:rsidR="00182598">
        <w:t>print</w:t>
      </w:r>
      <w:r w:rsidR="005E5DF5">
        <w:rPr>
          <w:color w:val="FF0000"/>
        </w:rPr>
        <w:t>.</w:t>
      </w:r>
    </w:p>
    <w:p w:rsidR="00EF4976" w:rsidRDefault="00EF4976" w:rsidP="001C61F9">
      <w:pPr>
        <w:pStyle w:val="ListParagraph"/>
        <w:numPr>
          <w:ilvl w:val="0"/>
          <w:numId w:val="7"/>
        </w:numPr>
      </w:pPr>
      <w:r w:rsidRPr="00EF4976">
        <w:t>Sprint</w:t>
      </w:r>
      <w:r>
        <w:t xml:space="preserve"> activation must be processe</w:t>
      </w:r>
      <w:r w:rsidR="005E5DF5">
        <w:t>d by Ingram Micro Mobility Team.</w:t>
      </w:r>
    </w:p>
    <w:p w:rsidR="00FE7905" w:rsidRDefault="009B1217" w:rsidP="001C61F9">
      <w:pPr>
        <w:pStyle w:val="ListParagraph"/>
        <w:numPr>
          <w:ilvl w:val="0"/>
          <w:numId w:val="7"/>
        </w:numPr>
      </w:pPr>
      <w:r>
        <w:t>Hardware can be sourced through any authorized distributor.</w:t>
      </w:r>
    </w:p>
    <w:p w:rsidR="00E87E7B" w:rsidRPr="00F60A6B" w:rsidRDefault="00E87E7B" w:rsidP="00F60A6B">
      <w:pPr>
        <w:rPr>
          <w:b/>
          <w:u w:val="single"/>
        </w:rPr>
      </w:pPr>
      <w:r w:rsidRPr="00F60A6B">
        <w:rPr>
          <w:b/>
          <w:u w:val="single"/>
        </w:rPr>
        <w:t>Cisco Sprint Embedded SKUs</w:t>
      </w:r>
    </w:p>
    <w:p w:rsidR="00AE7E0B" w:rsidRDefault="00E87E7B" w:rsidP="00F60A6B">
      <w:pPr>
        <w:pStyle w:val="ListParagraph"/>
        <w:numPr>
          <w:ilvl w:val="0"/>
          <w:numId w:val="7"/>
        </w:numPr>
      </w:pPr>
      <w:r w:rsidRPr="00A03708">
        <w:rPr>
          <w:b/>
        </w:rPr>
        <w:t>M40993</w:t>
      </w:r>
      <w:r>
        <w:t xml:space="preserve"> </w:t>
      </w:r>
      <w:r w:rsidR="00A03708">
        <w:t>– HWIC</w:t>
      </w:r>
      <w:r w:rsidR="00517EE1">
        <w:t>-</w:t>
      </w:r>
      <w:r w:rsidR="00A03708">
        <w:t>3G</w:t>
      </w:r>
      <w:r w:rsidR="00517EE1">
        <w:t>-CDMA</w:t>
      </w:r>
      <w:r w:rsidR="00C61CFA">
        <w:t>-S</w:t>
      </w:r>
    </w:p>
    <w:p w:rsidR="00A03708" w:rsidRDefault="00CE710F" w:rsidP="00F60A6B">
      <w:pPr>
        <w:pStyle w:val="ListParagraph"/>
        <w:numPr>
          <w:ilvl w:val="0"/>
          <w:numId w:val="7"/>
        </w:num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5080148</wp:posOffset>
            </wp:positionH>
            <wp:positionV relativeFrom="paragraph">
              <wp:posOffset>107507</wp:posOffset>
            </wp:positionV>
            <wp:extent cx="1777852" cy="967562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2" cy="96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708" w:rsidRPr="00A03708">
        <w:rPr>
          <w:b/>
        </w:rPr>
        <w:t xml:space="preserve">Q99118 </w:t>
      </w:r>
      <w:r w:rsidR="00A03708">
        <w:t>– C2811</w:t>
      </w:r>
      <w:r w:rsidR="00517EE1">
        <w:t>-</w:t>
      </w:r>
      <w:r w:rsidR="00A03708">
        <w:t>3G</w:t>
      </w:r>
      <w:r w:rsidR="00517EE1">
        <w:t>-</w:t>
      </w:r>
      <w:r w:rsidR="00A03708">
        <w:t>S</w:t>
      </w:r>
      <w:r w:rsidR="00517EE1">
        <w:t>-</w:t>
      </w:r>
      <w:r w:rsidR="00A03708">
        <w:t>SEC</w:t>
      </w:r>
      <w:r w:rsidR="00517EE1">
        <w:t>/</w:t>
      </w:r>
      <w:r w:rsidR="00A03708">
        <w:t>K9</w:t>
      </w:r>
    </w:p>
    <w:p w:rsidR="00AE7E0B" w:rsidRDefault="00A03708" w:rsidP="00F60A6B">
      <w:pPr>
        <w:pStyle w:val="ListParagraph"/>
        <w:numPr>
          <w:ilvl w:val="0"/>
          <w:numId w:val="7"/>
        </w:numPr>
      </w:pPr>
      <w:r w:rsidRPr="00A03708">
        <w:rPr>
          <w:b/>
        </w:rPr>
        <w:t>R85462</w:t>
      </w:r>
      <w:r>
        <w:t xml:space="preserve"> – C1841</w:t>
      </w:r>
      <w:r w:rsidR="00517EE1">
        <w:t>-</w:t>
      </w:r>
      <w:r>
        <w:t>3G</w:t>
      </w:r>
      <w:r w:rsidR="00517EE1">
        <w:t>-</w:t>
      </w:r>
      <w:r>
        <w:t>S</w:t>
      </w:r>
    </w:p>
    <w:p w:rsidR="00AE7E0B" w:rsidRDefault="00A03708" w:rsidP="00F60A6B">
      <w:pPr>
        <w:pStyle w:val="ListParagraph"/>
        <w:numPr>
          <w:ilvl w:val="0"/>
          <w:numId w:val="7"/>
        </w:numPr>
      </w:pPr>
      <w:r w:rsidRPr="000C0CD1">
        <w:rPr>
          <w:b/>
        </w:rPr>
        <w:t>Y78768</w:t>
      </w:r>
      <w:r>
        <w:t xml:space="preserve"> – CISCO881</w:t>
      </w:r>
      <w:r w:rsidR="00517EE1">
        <w:t>-</w:t>
      </w:r>
      <w:r>
        <w:t>G</w:t>
      </w:r>
      <w:r w:rsidR="00517EE1">
        <w:t>-</w:t>
      </w:r>
      <w:r>
        <w:t>S</w:t>
      </w:r>
      <w:r w:rsidR="00517EE1">
        <w:t>-</w:t>
      </w:r>
      <w:r>
        <w:t>K9</w:t>
      </w:r>
    </w:p>
    <w:p w:rsidR="0066218C" w:rsidRDefault="0066218C" w:rsidP="00F60A6B">
      <w:pPr>
        <w:pStyle w:val="ListParagraph"/>
        <w:numPr>
          <w:ilvl w:val="0"/>
          <w:numId w:val="7"/>
        </w:numPr>
      </w:pPr>
      <w:r w:rsidRPr="0066218C">
        <w:rPr>
          <w:b/>
        </w:rPr>
        <w:t>R85463</w:t>
      </w:r>
      <w:r>
        <w:t xml:space="preserve"> – C1841-3G-S-SEC/K9</w:t>
      </w:r>
    </w:p>
    <w:p w:rsidR="0066218C" w:rsidRDefault="0066218C" w:rsidP="00F60A6B">
      <w:pPr>
        <w:pStyle w:val="ListParagraph"/>
        <w:numPr>
          <w:ilvl w:val="0"/>
          <w:numId w:val="7"/>
        </w:numPr>
      </w:pPr>
      <w:r w:rsidRPr="0066218C">
        <w:rPr>
          <w:b/>
        </w:rPr>
        <w:t>V07984</w:t>
      </w:r>
      <w:r>
        <w:t xml:space="preserve"> – CISCO881GW-GN-A-K9 with mandatory PCEX-3G-CDMA-S</w:t>
      </w:r>
    </w:p>
    <w:p w:rsidR="0066218C" w:rsidRDefault="0066218C" w:rsidP="00F60A6B">
      <w:pPr>
        <w:pStyle w:val="ListParagraph"/>
        <w:numPr>
          <w:ilvl w:val="0"/>
          <w:numId w:val="7"/>
        </w:numPr>
      </w:pPr>
      <w:r w:rsidRPr="0066218C">
        <w:rPr>
          <w:b/>
        </w:rPr>
        <w:t>Y77432</w:t>
      </w:r>
      <w:r>
        <w:t xml:space="preserve"> – PCEX-3G-CDMA-S</w:t>
      </w:r>
    </w:p>
    <w:p w:rsidR="0066218C" w:rsidRDefault="0066218C" w:rsidP="00F60A6B">
      <w:pPr>
        <w:pStyle w:val="ListParagraph"/>
        <w:numPr>
          <w:ilvl w:val="0"/>
          <w:numId w:val="7"/>
        </w:numPr>
      </w:pPr>
      <w:r w:rsidRPr="0066218C">
        <w:rPr>
          <w:b/>
        </w:rPr>
        <w:t>CE9692</w:t>
      </w:r>
      <w:r>
        <w:t xml:space="preserve"> – CISCO887G-K9 with mandatory PCEX-3G-CDMA-S</w:t>
      </w:r>
    </w:p>
    <w:p w:rsidR="0066218C" w:rsidRDefault="0066218C" w:rsidP="00F60A6B">
      <w:pPr>
        <w:pStyle w:val="ListParagraph"/>
        <w:numPr>
          <w:ilvl w:val="0"/>
          <w:numId w:val="7"/>
        </w:numPr>
      </w:pPr>
      <w:r w:rsidRPr="0066218C">
        <w:rPr>
          <w:b/>
        </w:rPr>
        <w:t>CE9693</w:t>
      </w:r>
      <w:r>
        <w:t xml:space="preserve"> – CISCO887GW-A-K9 with mandatory PCEX-3G-CDMA-S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  <w:r w:rsidRPr="00057834">
        <w:rPr>
          <w:b/>
          <w:bCs/>
          <w:i/>
        </w:rPr>
        <w:t>Cisco Activation Program Compensation</w:t>
      </w:r>
      <w:r w:rsidR="009B1217">
        <w:rPr>
          <w:b/>
          <w:bCs/>
          <w:i/>
        </w:rPr>
        <w:t xml:space="preserve"> – Standard Commission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</w:tblGrid>
      <w:tr w:rsidR="00446205">
        <w:trPr>
          <w:trHeight w:val="291"/>
        </w:trPr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MRC Tier</w:t>
            </w:r>
          </w:p>
        </w:tc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Reseller Commission *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Pr="00E62761" w:rsidRDefault="00446205" w:rsidP="00961AC3">
            <w:pPr>
              <w:ind w:right="144"/>
              <w:jc w:val="center"/>
              <w:rPr>
                <w:b/>
                <w:bCs/>
              </w:rPr>
            </w:pPr>
            <w:r w:rsidRPr="00E62761">
              <w:rPr>
                <w:b/>
                <w:color w:val="000000"/>
              </w:rPr>
              <w:t>$0 - $29.98</w:t>
            </w:r>
          </w:p>
        </w:tc>
        <w:tc>
          <w:tcPr>
            <w:tcW w:w="2754" w:type="dxa"/>
          </w:tcPr>
          <w:p w:rsidR="00446205" w:rsidRDefault="00446205" w:rsidP="00052A7A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C39FF">
              <w:rPr>
                <w:b/>
                <w:bCs/>
              </w:rPr>
              <w:t>5</w:t>
            </w:r>
            <w:r w:rsidR="00052A7A">
              <w:rPr>
                <w:b/>
                <w:bCs/>
              </w:rPr>
              <w:t>2</w:t>
            </w:r>
            <w:r>
              <w:rPr>
                <w:b/>
                <w:bCs/>
              </w:rPr>
              <w:t>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446205" w:rsidP="007C39FF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$29.99 - $</w:t>
            </w:r>
            <w:r w:rsidR="007C39FF">
              <w:rPr>
                <w:b/>
                <w:bCs/>
              </w:rPr>
              <w:t>4</w:t>
            </w:r>
            <w:r>
              <w:rPr>
                <w:b/>
                <w:bCs/>
              </w:rPr>
              <w:t>9.98</w:t>
            </w:r>
          </w:p>
        </w:tc>
        <w:tc>
          <w:tcPr>
            <w:tcW w:w="2754" w:type="dxa"/>
          </w:tcPr>
          <w:p w:rsidR="00446205" w:rsidRDefault="00446205" w:rsidP="00052A7A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C39FF">
              <w:rPr>
                <w:b/>
                <w:bCs/>
              </w:rPr>
              <w:t>9</w:t>
            </w:r>
            <w:r w:rsidR="00052A7A">
              <w:rPr>
                <w:b/>
                <w:bCs/>
              </w:rPr>
              <w:t>3</w:t>
            </w:r>
            <w:r>
              <w:rPr>
                <w:b/>
                <w:bCs/>
              </w:rPr>
              <w:t>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Pr="00057834" w:rsidRDefault="00446205" w:rsidP="00961AC3">
            <w:pPr>
              <w:ind w:right="144"/>
              <w:jc w:val="center"/>
              <w:rPr>
                <w:b/>
                <w:bCs/>
                <w:highlight w:val="yellow"/>
              </w:rPr>
            </w:pPr>
            <w:r w:rsidRPr="00163270">
              <w:rPr>
                <w:b/>
                <w:bCs/>
              </w:rPr>
              <w:t>$49.99 - $69.98</w:t>
            </w:r>
          </w:p>
        </w:tc>
        <w:tc>
          <w:tcPr>
            <w:tcW w:w="2754" w:type="dxa"/>
          </w:tcPr>
          <w:p w:rsidR="00446205" w:rsidRPr="00163270" w:rsidRDefault="00446205" w:rsidP="007C39FF">
            <w:pPr>
              <w:ind w:right="144"/>
              <w:jc w:val="center"/>
              <w:rPr>
                <w:b/>
                <w:bCs/>
              </w:rPr>
            </w:pPr>
            <w:r w:rsidRPr="00163270">
              <w:rPr>
                <w:b/>
                <w:bCs/>
              </w:rPr>
              <w:t>$1</w:t>
            </w:r>
            <w:r w:rsidR="007C39FF">
              <w:rPr>
                <w:b/>
                <w:bCs/>
              </w:rPr>
              <w:t>30</w:t>
            </w:r>
            <w:r w:rsidRPr="00163270">
              <w:rPr>
                <w:b/>
                <w:bCs/>
              </w:rPr>
              <w:t>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$69.99 - $89.98</w:t>
            </w:r>
          </w:p>
        </w:tc>
        <w:tc>
          <w:tcPr>
            <w:tcW w:w="2754" w:type="dxa"/>
          </w:tcPr>
          <w:p w:rsidR="00446205" w:rsidRDefault="00446205" w:rsidP="00052A7A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  <w:r w:rsidR="007C39FF">
              <w:rPr>
                <w:b/>
                <w:bCs/>
              </w:rPr>
              <w:t>7</w:t>
            </w:r>
            <w:r w:rsidR="00052A7A">
              <w:rPr>
                <w:b/>
                <w:bCs/>
              </w:rPr>
              <w:t>1</w:t>
            </w:r>
            <w:r>
              <w:rPr>
                <w:b/>
                <w:bCs/>
              </w:rPr>
              <w:t>.00</w:t>
            </w:r>
          </w:p>
        </w:tc>
      </w:tr>
      <w:tr w:rsidR="00446205">
        <w:trPr>
          <w:trHeight w:val="291"/>
        </w:trPr>
        <w:tc>
          <w:tcPr>
            <w:tcW w:w="2754" w:type="dxa"/>
          </w:tcPr>
          <w:p w:rsidR="00446205" w:rsidRDefault="00446205" w:rsidP="00961AC3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$89.99 +</w:t>
            </w:r>
          </w:p>
        </w:tc>
        <w:tc>
          <w:tcPr>
            <w:tcW w:w="2754" w:type="dxa"/>
          </w:tcPr>
          <w:p w:rsidR="00446205" w:rsidRDefault="00446205" w:rsidP="00052A7A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  <w:r w:rsidR="007C39FF">
              <w:rPr>
                <w:b/>
                <w:bCs/>
              </w:rPr>
              <w:t>9</w:t>
            </w:r>
            <w:r w:rsidR="00052A7A">
              <w:rPr>
                <w:b/>
                <w:bCs/>
              </w:rPr>
              <w:t>1</w:t>
            </w:r>
            <w:r>
              <w:rPr>
                <w:b/>
                <w:bCs/>
              </w:rPr>
              <w:t>.00</w:t>
            </w:r>
          </w:p>
        </w:tc>
      </w:tr>
    </w:tbl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  <w:r>
        <w:rPr>
          <w:b/>
          <w:bCs/>
        </w:rPr>
        <w:t>*To qualify for commission, customer must activate New Customer Rate Plans</w:t>
      </w:r>
      <w:r w:rsidR="00242DA9">
        <w:rPr>
          <w:b/>
          <w:bCs/>
        </w:rPr>
        <w:t xml:space="preserve">.  </w:t>
      </w:r>
      <w:r>
        <w:rPr>
          <w:b/>
          <w:bCs/>
        </w:rPr>
        <w:t>Customer must qualify as a Prime customer.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</w:tblGrid>
      <w:tr w:rsidR="00446205">
        <w:tc>
          <w:tcPr>
            <w:tcW w:w="2754" w:type="dxa"/>
          </w:tcPr>
          <w:p w:rsidR="00446205" w:rsidRDefault="00446205" w:rsidP="00A03B90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Qualified Upgrade **</w:t>
            </w:r>
          </w:p>
        </w:tc>
        <w:tc>
          <w:tcPr>
            <w:tcW w:w="2754" w:type="dxa"/>
          </w:tcPr>
          <w:p w:rsidR="00446205" w:rsidRDefault="00446205" w:rsidP="007C39FF">
            <w:pPr>
              <w:ind w:right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  <w:r w:rsidR="007C39FF">
              <w:rPr>
                <w:b/>
                <w:bCs/>
              </w:rPr>
              <w:t>0</w:t>
            </w:r>
            <w:r>
              <w:rPr>
                <w:b/>
                <w:bCs/>
              </w:rPr>
              <w:t>.00</w:t>
            </w:r>
          </w:p>
        </w:tc>
      </w:tr>
    </w:tbl>
    <w:p w:rsidR="00961AC3" w:rsidRDefault="00961AC3" w:rsidP="00961AC3">
      <w:pPr>
        <w:spacing w:after="0" w:line="240" w:lineRule="auto"/>
        <w:ind w:right="144"/>
        <w:rPr>
          <w:b/>
          <w:bCs/>
        </w:rPr>
      </w:pPr>
    </w:p>
    <w:p w:rsidR="00961AC3" w:rsidRPr="00961AC3" w:rsidRDefault="00961AC3" w:rsidP="00961AC3">
      <w:pPr>
        <w:spacing w:after="0" w:line="240" w:lineRule="auto"/>
        <w:ind w:right="144"/>
        <w:rPr>
          <w:b/>
          <w:bCs/>
          <w:sz w:val="20"/>
          <w:szCs w:val="20"/>
        </w:rPr>
      </w:pPr>
      <w:r>
        <w:rPr>
          <w:b/>
          <w:bCs/>
        </w:rPr>
        <w:t xml:space="preserve">** </w:t>
      </w:r>
      <w:r w:rsidRPr="00961AC3">
        <w:rPr>
          <w:b/>
          <w:bCs/>
          <w:sz w:val="20"/>
          <w:szCs w:val="20"/>
        </w:rPr>
        <w:t>Customer must sign a 2-yr service agreement at time of upgrade transaction to qualify for Qualified Upgrade Commission</w:t>
      </w:r>
    </w:p>
    <w:p w:rsidR="00961AC3" w:rsidRDefault="00961AC3" w:rsidP="00961AC3">
      <w:pPr>
        <w:spacing w:after="0" w:line="240" w:lineRule="auto"/>
        <w:ind w:right="144"/>
        <w:rPr>
          <w:b/>
          <w:bCs/>
        </w:rPr>
      </w:pPr>
      <w:r>
        <w:rPr>
          <w:b/>
          <w:bCs/>
        </w:rPr>
        <w:t xml:space="preserve">** </w:t>
      </w:r>
      <w:r w:rsidR="00242DA9">
        <w:rPr>
          <w:b/>
          <w:bCs/>
          <w:sz w:val="20"/>
          <w:szCs w:val="20"/>
        </w:rPr>
        <w:t>Customer</w:t>
      </w:r>
      <w:r w:rsidRPr="00961AC3">
        <w:rPr>
          <w:b/>
          <w:bCs/>
          <w:sz w:val="20"/>
          <w:szCs w:val="20"/>
        </w:rPr>
        <w:t xml:space="preserve"> must sign up on a Qualified Service Plan with an MRC of $34.99 or higher</w:t>
      </w:r>
    </w:p>
    <w:p w:rsidR="00446205" w:rsidRPr="00446205" w:rsidRDefault="007B79F9" w:rsidP="00446205">
      <w:pPr>
        <w:autoSpaceDE w:val="0"/>
        <w:autoSpaceDN w:val="0"/>
        <w:adjustRightInd w:val="0"/>
        <w:spacing w:line="240" w:lineRule="auto"/>
        <w:contextualSpacing/>
        <w:rPr>
          <w:b/>
          <w:bCs/>
        </w:rPr>
      </w:pPr>
      <w:r>
        <w:rPr>
          <w:b/>
          <w:bCs/>
          <w:noProof/>
          <w:lang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48.5pt;margin-top:2.45pt;width:463.8pt;height:203.4pt;z-index:251663360;mso-width-relative:margin;mso-height-relative:margin" strokecolor="white [3212]">
            <v:textbox style="mso-next-textbox:#_x0000_s1026">
              <w:txbxContent>
                <w:p w:rsidR="00446205" w:rsidRDefault="00446205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Contact – </w:t>
                  </w:r>
                </w:p>
                <w:p w:rsidR="00446205" w:rsidRDefault="00446205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D4714B">
                    <w:rPr>
                      <w:b/>
                      <w:bCs/>
                      <w:u w:val="single"/>
                    </w:rPr>
                    <w:t>Emmanuel Borrasca</w:t>
                  </w:r>
                  <w:r w:rsidRPr="0090684E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 w:rsidRPr="00D4714B">
                    <w:rPr>
                      <w:rFonts w:ascii="Calibri" w:hAnsi="Calibri" w:cs="Arial"/>
                      <w:b/>
                      <w:color w:val="000000"/>
                      <w:u w:val="single"/>
                    </w:rPr>
                    <w:t>David Hemmer</w:t>
                  </w:r>
                </w:p>
                <w:p w:rsidR="00446205" w:rsidRPr="0090684E" w:rsidRDefault="00446205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/>
                      <w:bCs/>
                    </w:rPr>
                  </w:pPr>
                  <w:r w:rsidRPr="0090684E">
                    <w:rPr>
                      <w:b/>
                      <w:bCs/>
                    </w:rPr>
                    <w:t xml:space="preserve">Office: (800) 456-8000 x66673  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 w:rsidRPr="00D4714B">
                    <w:rPr>
                      <w:rFonts w:ascii="Calibri" w:hAnsi="Calibri" w:cs="Arial"/>
                      <w:b/>
                      <w:color w:val="000000"/>
                      <w:lang w:val="fr-FR"/>
                    </w:rPr>
                    <w:t xml:space="preserve">Office: (800) 456-8000 x66678 </w:t>
                  </w:r>
                  <w:hyperlink r:id="rId10" w:history="1">
                    <w:r w:rsidRPr="00BC58EA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emmanuel.borrasca@ingrammicro.com</w:t>
                    </w:r>
                  </w:hyperlink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hyperlink r:id="rId11" w:history="1">
                    <w:r w:rsidRPr="00D86915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fr-FR"/>
                      </w:rPr>
                      <w:t>david.hemmer@ingrammicro.com</w:t>
                    </w:r>
                  </w:hyperlink>
                </w:p>
                <w:p w:rsidR="00446205" w:rsidRDefault="00446205"/>
                <w:p w:rsidR="00446205" w:rsidRDefault="00446205"/>
                <w:p w:rsidR="00446205" w:rsidRPr="0090684E" w:rsidRDefault="00446205" w:rsidP="00446205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D86915">
                    <w:rPr>
                      <w:rFonts w:ascii="Arial" w:hAnsi="Arial" w:cs="Arial"/>
                      <w:color w:val="000000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446205" w:rsidRDefault="00446205"/>
              </w:txbxContent>
            </v:textbox>
          </v:shape>
        </w:pict>
      </w:r>
    </w:p>
    <w:sectPr w:rsidR="00446205" w:rsidRPr="00446205" w:rsidSect="007243FB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20"/>
    <w:multiLevelType w:val="hybridMultilevel"/>
    <w:tmpl w:val="469E9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10C7"/>
    <w:multiLevelType w:val="hybridMultilevel"/>
    <w:tmpl w:val="B98EF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20FB9"/>
    <w:multiLevelType w:val="hybridMultilevel"/>
    <w:tmpl w:val="CEF4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511E"/>
    <w:multiLevelType w:val="hybridMultilevel"/>
    <w:tmpl w:val="708A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E3445"/>
    <w:multiLevelType w:val="hybridMultilevel"/>
    <w:tmpl w:val="CFC2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E3FD0"/>
    <w:multiLevelType w:val="hybridMultilevel"/>
    <w:tmpl w:val="C27A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B2E63"/>
    <w:multiLevelType w:val="hybridMultilevel"/>
    <w:tmpl w:val="9EDE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C7AFB"/>
    <w:multiLevelType w:val="hybridMultilevel"/>
    <w:tmpl w:val="853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80F2A"/>
    <w:multiLevelType w:val="hybridMultilevel"/>
    <w:tmpl w:val="CDCE1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2571F2"/>
    <w:multiLevelType w:val="hybridMultilevel"/>
    <w:tmpl w:val="5210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B78B8"/>
    <w:multiLevelType w:val="hybridMultilevel"/>
    <w:tmpl w:val="EE7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E1A0C"/>
    <w:multiLevelType w:val="hybridMultilevel"/>
    <w:tmpl w:val="CA0EF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131C7"/>
    <w:multiLevelType w:val="hybridMultilevel"/>
    <w:tmpl w:val="C76E66BA"/>
    <w:lvl w:ilvl="0" w:tplc="ABBCE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40F75"/>
    <w:multiLevelType w:val="hybridMultilevel"/>
    <w:tmpl w:val="745ED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897071"/>
    <w:multiLevelType w:val="hybridMultilevel"/>
    <w:tmpl w:val="FBEA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05810"/>
    <w:multiLevelType w:val="hybridMultilevel"/>
    <w:tmpl w:val="2C0C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F1FF6"/>
    <w:multiLevelType w:val="hybridMultilevel"/>
    <w:tmpl w:val="B970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15"/>
  </w:num>
  <w:num w:numId="13">
    <w:abstractNumId w:val="0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3B0CF8"/>
    <w:rsid w:val="000019EC"/>
    <w:rsid w:val="00052A7A"/>
    <w:rsid w:val="00057834"/>
    <w:rsid w:val="00091B4D"/>
    <w:rsid w:val="000C0CD1"/>
    <w:rsid w:val="0010538F"/>
    <w:rsid w:val="0012372A"/>
    <w:rsid w:val="001318C1"/>
    <w:rsid w:val="0014480C"/>
    <w:rsid w:val="001478E1"/>
    <w:rsid w:val="001771BF"/>
    <w:rsid w:val="00182598"/>
    <w:rsid w:val="00195AC8"/>
    <w:rsid w:val="001B7E47"/>
    <w:rsid w:val="001C4E4A"/>
    <w:rsid w:val="001C61F9"/>
    <w:rsid w:val="00220CEE"/>
    <w:rsid w:val="00242DA9"/>
    <w:rsid w:val="002509F7"/>
    <w:rsid w:val="0025142E"/>
    <w:rsid w:val="00261062"/>
    <w:rsid w:val="00267E12"/>
    <w:rsid w:val="00274BDA"/>
    <w:rsid w:val="002A76F9"/>
    <w:rsid w:val="002C5366"/>
    <w:rsid w:val="002D7AD2"/>
    <w:rsid w:val="002E1C33"/>
    <w:rsid w:val="002E3070"/>
    <w:rsid w:val="002F1FCC"/>
    <w:rsid w:val="003009D4"/>
    <w:rsid w:val="00311CE8"/>
    <w:rsid w:val="00351810"/>
    <w:rsid w:val="00362915"/>
    <w:rsid w:val="00380B7B"/>
    <w:rsid w:val="0039610B"/>
    <w:rsid w:val="003B0CF8"/>
    <w:rsid w:val="003D70D5"/>
    <w:rsid w:val="003E0373"/>
    <w:rsid w:val="003E04D7"/>
    <w:rsid w:val="004010EA"/>
    <w:rsid w:val="00421F31"/>
    <w:rsid w:val="00446205"/>
    <w:rsid w:val="00450ED2"/>
    <w:rsid w:val="00464376"/>
    <w:rsid w:val="0048310E"/>
    <w:rsid w:val="004869DA"/>
    <w:rsid w:val="0049519F"/>
    <w:rsid w:val="004C079E"/>
    <w:rsid w:val="004C4D1C"/>
    <w:rsid w:val="004E1F84"/>
    <w:rsid w:val="00517EE1"/>
    <w:rsid w:val="0054024B"/>
    <w:rsid w:val="00570CBA"/>
    <w:rsid w:val="005B75CD"/>
    <w:rsid w:val="005E5DF5"/>
    <w:rsid w:val="00603DD5"/>
    <w:rsid w:val="00622C4D"/>
    <w:rsid w:val="00634542"/>
    <w:rsid w:val="00641D84"/>
    <w:rsid w:val="00656E1B"/>
    <w:rsid w:val="006579DB"/>
    <w:rsid w:val="0066218C"/>
    <w:rsid w:val="0067385A"/>
    <w:rsid w:val="00673D84"/>
    <w:rsid w:val="006A7B54"/>
    <w:rsid w:val="006D00ED"/>
    <w:rsid w:val="006E2B35"/>
    <w:rsid w:val="006E4F97"/>
    <w:rsid w:val="006E64C4"/>
    <w:rsid w:val="0070584B"/>
    <w:rsid w:val="00710A76"/>
    <w:rsid w:val="007243FB"/>
    <w:rsid w:val="007271A4"/>
    <w:rsid w:val="0074666C"/>
    <w:rsid w:val="007A5A42"/>
    <w:rsid w:val="007B6B8C"/>
    <w:rsid w:val="007B79F9"/>
    <w:rsid w:val="007C39FF"/>
    <w:rsid w:val="00821AF8"/>
    <w:rsid w:val="0082528F"/>
    <w:rsid w:val="0083017C"/>
    <w:rsid w:val="00835494"/>
    <w:rsid w:val="008469F5"/>
    <w:rsid w:val="00857415"/>
    <w:rsid w:val="00893FD2"/>
    <w:rsid w:val="00894E0A"/>
    <w:rsid w:val="008A0AFC"/>
    <w:rsid w:val="008C3A9D"/>
    <w:rsid w:val="008D4E7D"/>
    <w:rsid w:val="008F2618"/>
    <w:rsid w:val="008F6148"/>
    <w:rsid w:val="0090684E"/>
    <w:rsid w:val="00917912"/>
    <w:rsid w:val="00941BBC"/>
    <w:rsid w:val="00942588"/>
    <w:rsid w:val="009425E2"/>
    <w:rsid w:val="00961AC3"/>
    <w:rsid w:val="00961C3F"/>
    <w:rsid w:val="00983118"/>
    <w:rsid w:val="00992D5B"/>
    <w:rsid w:val="00997692"/>
    <w:rsid w:val="009B1217"/>
    <w:rsid w:val="009D31FF"/>
    <w:rsid w:val="009F2A2F"/>
    <w:rsid w:val="00A03708"/>
    <w:rsid w:val="00A03793"/>
    <w:rsid w:val="00A03B90"/>
    <w:rsid w:val="00A2404F"/>
    <w:rsid w:val="00A25361"/>
    <w:rsid w:val="00A91674"/>
    <w:rsid w:val="00AC0E47"/>
    <w:rsid w:val="00AE2C39"/>
    <w:rsid w:val="00AE7E0B"/>
    <w:rsid w:val="00B2685B"/>
    <w:rsid w:val="00B339CB"/>
    <w:rsid w:val="00B46539"/>
    <w:rsid w:val="00B5062F"/>
    <w:rsid w:val="00B54D92"/>
    <w:rsid w:val="00B81016"/>
    <w:rsid w:val="00BC0B57"/>
    <w:rsid w:val="00BC6659"/>
    <w:rsid w:val="00BC687F"/>
    <w:rsid w:val="00BD0649"/>
    <w:rsid w:val="00BE298E"/>
    <w:rsid w:val="00BF45AA"/>
    <w:rsid w:val="00C25356"/>
    <w:rsid w:val="00C41BF2"/>
    <w:rsid w:val="00C577C9"/>
    <w:rsid w:val="00C61CFA"/>
    <w:rsid w:val="00C65CD3"/>
    <w:rsid w:val="00C711C3"/>
    <w:rsid w:val="00CD50AC"/>
    <w:rsid w:val="00CE710F"/>
    <w:rsid w:val="00D44137"/>
    <w:rsid w:val="00D4714B"/>
    <w:rsid w:val="00D528F8"/>
    <w:rsid w:val="00D63068"/>
    <w:rsid w:val="00D67F1C"/>
    <w:rsid w:val="00D7769C"/>
    <w:rsid w:val="00DA4561"/>
    <w:rsid w:val="00DA5EB8"/>
    <w:rsid w:val="00DE5C79"/>
    <w:rsid w:val="00DE7F9D"/>
    <w:rsid w:val="00E07444"/>
    <w:rsid w:val="00E14F48"/>
    <w:rsid w:val="00E242C3"/>
    <w:rsid w:val="00E43F00"/>
    <w:rsid w:val="00E729FE"/>
    <w:rsid w:val="00E87E7B"/>
    <w:rsid w:val="00EB1596"/>
    <w:rsid w:val="00EB2E00"/>
    <w:rsid w:val="00EC5229"/>
    <w:rsid w:val="00ED1060"/>
    <w:rsid w:val="00EF4976"/>
    <w:rsid w:val="00F43BBD"/>
    <w:rsid w:val="00F50B58"/>
    <w:rsid w:val="00F60A6B"/>
    <w:rsid w:val="00F64E6E"/>
    <w:rsid w:val="00F70178"/>
    <w:rsid w:val="00F76160"/>
    <w:rsid w:val="00FA2689"/>
    <w:rsid w:val="00FB0440"/>
    <w:rsid w:val="00FE7905"/>
  </w:rsids>
  <m:mathPr>
    <m:mathFont m:val="Lucida Sans Unico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0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E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079E"/>
    <w:pPr>
      <w:spacing w:after="0" w:line="240" w:lineRule="auto"/>
    </w:pPr>
    <w:rPr>
      <w:rFonts w:ascii="Arial" w:hAnsi="Arial" w:cs="Arial"/>
      <w:color w:val="00008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79E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05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hyperlink" Target="http://images.google.com/imgres?imgurl=http://www.skymetercorp.com/cms/images/stories/Logos/CiscoSystems.gif&amp;imgrefurl=http://www.skymetercorp.com/cms/index.php?option=com_content&amp;task=view&amp;id=110&amp;Itemid=139&amp;usg=__t0nmf-SqMf9a64cxs5qLqZZMqEo=&amp;h=617&amp;w=975&amp;sz=13&amp;hl=en&amp;start=1&amp;itbs=1&amp;tbnid=8unU5vUawesT_M:&amp;tbnh=94&amp;tbnw=149&amp;prev=/images?q=cisco&amp;gbv=2&amp;hl=en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yperlink" Target="mailto:david.hemmer@ingrammicro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emmanuel.borrasca@ingrammicr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263472D11A4286BA8AD5BC215F21" ma:contentTypeVersion="5" ma:contentTypeDescription="Create a new document." ma:contentTypeScope="" ma:versionID="5f8979a524dc5ce199feb9172f79989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mailTo xmlns="http://schemas.microsoft.com/sharepoint/v3">&amp;lt;marco-attachments@cisco.com&amp;gt;; &amp;lt;marco-attachments@team.cisco.com&amp;gt;</EmailTo>
    <EmailSender xmlns="http://schemas.microsoft.com/sharepoint/v3">&lt;a href="mailto:ehayward@cisco.com"&gt;ehayward@cisco.com&lt;/a&gt;</EmailSender>
    <EmailFrom xmlns="http://schemas.microsoft.com/sharepoint/v3">ehayward &lt;ehayward@cisco.com&gt;</EmailFrom>
    <EmailSubject xmlns="http://schemas.microsoft.com/sharepoint/v3">FW: INC000012788119 Attachments</EmailSubject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3C4B2-62FD-F34F-AD44-FCCAAA56AFE5}"/>
</file>

<file path=customXml/itemProps2.xml><?xml version="1.0" encoding="utf-8"?>
<ds:datastoreItem xmlns:ds="http://schemas.openxmlformats.org/officeDocument/2006/customXml" ds:itemID="{D31A78E7-B73E-4E6A-9B7B-83768A21ADB0}"/>
</file>

<file path=customXml/itemProps3.xml><?xml version="1.0" encoding="utf-8"?>
<ds:datastoreItem xmlns:ds="http://schemas.openxmlformats.org/officeDocument/2006/customXml" ds:itemID="{A9AF9A30-0A1C-4B69-A6F6-F82297739BCD}"/>
</file>

<file path=customXml/itemProps4.xml><?xml version="1.0" encoding="utf-8"?>
<ds:datastoreItem xmlns:ds="http://schemas.openxmlformats.org/officeDocument/2006/customXml" ds:itemID="{43A218E7-DBB1-42A2-9C21-58CC29912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Ingram Micro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Weido</dc:creator>
  <cp:keywords/>
  <dc:description/>
  <cp:lastModifiedBy>Errol Hayward</cp:lastModifiedBy>
  <cp:revision>2</cp:revision>
  <dcterms:created xsi:type="dcterms:W3CDTF">2010-05-14T21:58:00Z</dcterms:created>
  <dcterms:modified xsi:type="dcterms:W3CDTF">2010-05-14T21:58:00Z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0x010100D192263472D11A4286BA8AD5BC215F21</vt:lpwstr>
  </property>
</Properties>
</file>